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 w:val="0"/>
        <w:spacing w:before="120" w:after="40" w:line="240" w:lineRule="auto"/>
      </w:pPr>
      <w:r>
        <w:rPr>
          <w:rFonts w:ascii="Calibri" w:hAnsi="Calibri"/>
          <w:b/>
          <w:i w:val="0"/>
          <w:color w:val="2E74B5"/>
          <w:sz w:val="19"/>
        </w:rPr>
        <w:t>EDITABLE PROCUREMENT TEMPLATE</w:t>
      </w:r>
    </w:p>
    <w:p>
      <w:pPr>
        <w:keepNext w:val="0"/>
        <w:keepLines w:val="0"/>
        <w:spacing w:before="0" w:after="140" w:line="240" w:lineRule="auto"/>
      </w:pPr>
      <w:r>
        <w:rPr>
          <w:rFonts w:ascii="Calibri" w:hAnsi="Calibri"/>
          <w:b/>
          <w:i w:val="0"/>
          <w:color w:val="0B2545"/>
          <w:sz w:val="54"/>
        </w:rPr>
        <w:t>AI search optimization RFP</w:t>
      </w:r>
    </w:p>
    <w:p>
      <w:pPr>
        <w:keepNext w:val="0"/>
        <w:keepLines w:val="0"/>
        <w:spacing w:before="0" w:after="360" w:line="276" w:lineRule="auto"/>
      </w:pPr>
      <w:r>
        <w:rPr>
          <w:rFonts w:ascii="Calibri" w:hAnsi="Calibri"/>
          <w:b w:val="0"/>
          <w:i w:val="0"/>
          <w:color w:val="5B6672"/>
          <w:sz w:val="26"/>
        </w:rPr>
        <w:t>A ready-to-issue request for proposal for an early-stage B2B SaaS team hiring a managed GEO / AI-search partner.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700"/>
        <w:gridCol w:w="2300"/>
        <w:gridCol w:w="1660"/>
        <w:gridCol w:w="270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Issuing company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RFP owner</w:t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Revision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4F7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Response format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9"/>
              </w:rPr>
              <w:t>[Company name]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9"/>
              </w:rPr>
              <w:t>[Name and role]</w:t>
            </w:r>
          </w:p>
        </w:tc>
        <w:tc>
          <w:tcPr>
            <w:tcW w:type="dxa" w:w="1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9"/>
              </w:rPr>
              <w:t>2026-08-24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9"/>
              </w:rPr>
              <w:t>Editable DOCX or PDF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2" w:space="0" w:color="F4F6F9"/>
          <w:left w:val="single" w:sz="2" w:space="0" w:color="F4F6F9"/>
          <w:bottom w:val="single" w:sz="2" w:space="0" w:color="F4F6F9"/>
          <w:right w:val="single" w:sz="2" w:space="0" w:color="F4F6F9"/>
          <w:insideH w:val="single" w:sz="2" w:space="0" w:color="F4F6F9"/>
          <w:insideV w:val="single" w:sz="2" w:space="0" w:color="F4F6F9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80" w:type="dxa"/>
              <w:bottom w:w="120" w:type="dxa"/>
              <w:end w:w="180" w:type="dxa"/>
            </w:tcMar>
            <w:vAlign w:val="center"/>
            <w:shd w:fill="F4F6F9"/>
          </w:tcPr>
          <w:p>
            <w:pPr>
              <w:keepNext w:val="0"/>
              <w:keepLines w:val="0"/>
              <w:spacing w:before="0" w:after="0" w:line="278" w:lineRule="auto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How to use this file  </w:t>
            </w:r>
            <w:r>
              <w:rPr>
                <w:rFonts w:ascii="Calibri" w:hAnsi="Calibri"/>
                <w:b w:val="0"/>
                <w:i w:val="0"/>
                <w:color w:val="1F2933"/>
                <w:sz w:val="20"/>
              </w:rPr>
              <w:t>Replace bracketed fields, delete instructions you do not need, obtain legal/security review appropriate to your company, and issue the same final version to every invited provider. This template is informational and is not legal advice.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1"/>
      </w:pPr>
      <w:r>
        <w:t>1. RFP schedule and instructions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Milestone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Buyer entry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RFP issued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[YYYY-MM-DD, time zone]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Vendor questions due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[YYYY-MM-DD, time zone]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Answers shared with all vendors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[YYYY-MM-DD, time zone]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Proposal due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[YYYY-MM-DD, time zone]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Finalist calls / work-sample review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[Date range]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Decision and notification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Target start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[YYYY-MM-DD or window]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Submit one response in the section order used in this RFP. Mark every requirement Yes, Partial, No, or Not applicable and explain Partial/No answers.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Do not replace requested fields with a sales deck. Append supporting material and link each appendix to the requirement it supports.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Send questions only to [contact and email]. Material answers will be shared with every invited provider.</w:t>
      </w:r>
    </w:p>
    <w:p>
      <w:r>
        <w:br w:type="page"/>
      </w:r>
    </w:p>
    <w:p>
      <w:pPr>
        <w:pStyle w:val="Heading1"/>
      </w:pPr>
      <w:r>
        <w:t>2. Buyer brief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/>
          <w:color w:val="5B6672"/>
          <w:sz w:val="22"/>
        </w:rPr>
        <w:t>Complete this section before issue. Specific inputs produce proposals that can be compared without pretending unlike services are identical.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Field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Buyer response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Company and product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[One-sentence company/product description; canonical domain]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Target buyers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[Roles, industries, company sizes, buying committee]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Markets and languages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[Countries, locales, languages, launch order]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Business decision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[What decision improved AI-search visibility should support]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Priority categories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[Problems, solution categories, comparisons, alternatives]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Priority URLs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[Commercial pages and evidence assets in scope]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Known competitors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[3–6 brands; distinguish direct from adjacent]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Known baseline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[Dated observations; write Unknown where unmeasured]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Internal owners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[Marketing, content, developer, PR, legal, analytics]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1"/>
      </w:pPr>
      <w:r>
        <w:t>3. Engagement boundary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The buyer seeks the following. Check required items and delete the rest.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Baseline audit and frozen buyer-question set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Recurring measurement against an agreed query set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Technical and content implementation—not recommendations only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Third-party evidence / digital-PR planning with buyer approval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Reporting, decision log, and handover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Training for internal owners</w:t>
      </w:r>
    </w:p>
    <w:p>
      <w:pPr>
        <w:pStyle w:val="Heading2"/>
      </w:pPr>
      <w:r>
        <w:t>Explicit exclusions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Guaranteed rankings, citations, recommendations, traffic, pipeline, or revenue.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Paid placements, undisclosed advertorials, fabricated reviews, fake profiles, or invented client evidence.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Changes to production systems without buyer approval and an identified rollback owner.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Reporting that blends linked placement, unlinked mention, recommendation, sentiment, traffic, and revenue into one unexplained score.</w:t>
      </w:r>
    </w:p>
    <w:p>
      <w:r>
        <w:br w:type="page"/>
      </w:r>
    </w:p>
    <w:p>
      <w:pPr>
        <w:pStyle w:val="Heading1"/>
      </w:pPr>
      <w:r>
        <w:t>4. Mandatory measurement protocol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2" w:space="0" w:color="F4F6F9"/>
          <w:left w:val="single" w:sz="2" w:space="0" w:color="F4F6F9"/>
          <w:bottom w:val="single" w:sz="2" w:space="0" w:color="F4F6F9"/>
          <w:right w:val="single" w:sz="2" w:space="0" w:color="F4F6F9"/>
          <w:insideH w:val="single" w:sz="2" w:space="0" w:color="F4F6F9"/>
          <w:insideV w:val="single" w:sz="2" w:space="0" w:color="F4F6F9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80" w:type="dxa"/>
              <w:bottom w:w="120" w:type="dxa"/>
              <w:end w:w="180" w:type="dxa"/>
            </w:tcMar>
            <w:vAlign w:val="center"/>
            <w:shd w:fill="F4F6F9"/>
          </w:tcPr>
          <w:p>
            <w:pPr>
              <w:keepNext w:val="0"/>
              <w:keepLines w:val="0"/>
              <w:spacing w:before="0" w:after="0" w:line="278" w:lineRule="auto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Required response  </w:t>
            </w:r>
            <w:r>
              <w:rPr>
                <w:rFonts w:ascii="Calibri" w:hAnsi="Calibri"/>
                <w:b w:val="0"/>
                <w:i w:val="0"/>
                <w:color w:val="1F2933"/>
                <w:sz w:val="20"/>
              </w:rPr>
              <w:t>The provider must complete every measurement table. If a platform, model version, citation surface, geography, or access path is not observable, mark it Unknown or Not measured—never infer absence.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Outcome definitions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Outcome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Required definition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Linked placement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 returned source block links a URL on the buyer's target domain. Record canonical URL and displayed position.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Unlinked mention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 response names the buyer but does not link the target domain. Keep separate from linked placement.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Recommendation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 response affirmatively shortlists or endorses the buyer. Keep separate from a neutral mention.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Accuracy / sentiment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 separately reviewed classification of factual accuracy or tone; record the rubric and reviewer.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Business outcome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Observed referral, lead, pipeline, or revenue data with source and attribution limits. Never treat placement as revenue.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Null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 completed observation with no qualifying outcome under the declared definition. Preserve it in the denominator.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Engine and access-method response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1600"/>
        <w:gridCol w:w="2350"/>
        <w:gridCol w:w="1900"/>
        <w:gridCol w:w="1550"/>
        <w:gridCol w:w="196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Engine / surface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Access method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Context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Version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Linked sources?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[Engine / surface]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[Consumer UI, native search, API, browser automation, other]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[Locale / logged-in state]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[Model/version if exposed]</w:t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[Citation/link surface available?]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[Add row]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[Add row]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[Add row]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  <w:tc>
          <w:tcPr>
            <w:tcW w:type="dxa" w:w="1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Run design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Protocol field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Provider response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Frozen query count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[Number; attach exact list before baseline]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Runs per query per phase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[Number and rationale]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Immediate repeat rule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[Exact repeat timing and what triggers it]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Delayed confirmation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[Interval and production-change freeze]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Geography / language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[Fixed context or explicitly varied strata]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Denominator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[All completed responses; state exclusions]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Raw retention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[Full response, URLs, positions, timestamps, screenshots/exports]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Recorder failures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[Count, exclusion rule, and recapture policy]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1"/>
      </w:pPr>
      <w:r>
        <w:t>5. Evidence record and acceptance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The provider's evidence pack must let the buyer reproduce every rate from row-level observations. A dashboard alone is not acceptance evidence.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450"/>
        <w:gridCol w:w="6910"/>
      </w:tblGrid>
      <w:tr>
        <w:trPr>
          <w:tblHeader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Required field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Minimum evidence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Query 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Stable ID linked to the frozen query list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Exact query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Verbatim text; no silent rewriting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Engine / access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Named surface and access method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Run and UTC boundary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Run number plus start/end timestamp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Full response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Unedited response or durable export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Linked source rows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Every displayed URL and position; preserve duplicates when displayed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Outcome flags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Linked placement, mention, recommendation, accuracy/sentiment—separate fields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Null / unknown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Explicit value and reason; never blank by default</w:t>
            </w:r>
          </w:p>
        </w:tc>
      </w:tr>
      <w:t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Change boundary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Production deployment/version active during observation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Deliverable response matrix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1600"/>
        <w:gridCol w:w="1500"/>
        <w:gridCol w:w="2700"/>
        <w:gridCol w:w="1200"/>
        <w:gridCol w:w="236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Deliverable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Format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Minimum scope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Owner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Acceptance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Baseline evidence pack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CSV + readable report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[Fields/runs/engines]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Provider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Row totals reconcile; nulls retained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Priority roadmap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Document / issue tracker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[Affected URLs, evidence, owner, rationale]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Joint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Each action traceable to evidence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Implemented work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Buyer-owned CMS/repo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[Quantity and scope]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[Owner]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QA, approval, rollback recorded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Recurring report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CSV + readable report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[Cadence]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Provider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Same definitions or disclosed break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Decision / change log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Buyer-owned file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[Every material decision/change]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Joint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Current and exportable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Handover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Files + live session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[All assets, credentials, instructions]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Provider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Buyer can continue without vendor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Acceptance and rework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Name the buyer approver for each deliverable and the review window in business days.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State included revision rounds, defect/rework treatment, and what constitutes out-of-scope change.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A missed outcome target is not automatically a defect; missing contracted evidence, fields, files, or approved implementation may be.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3"/>
          <w:sz w:val="22"/>
        </w:rPr>
        <w:t>No deliverable is accepted solely because a dashboard or slide deck was shown in a meeting.</w:t>
      </w:r>
    </w:p>
    <w:p>
      <w:pPr>
        <w:pStyle w:val="Heading1"/>
      </w:pPr>
      <w:r>
        <w:t>6. Required provider response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Answer in this order. Keep unsupported claims labeled as claims and link evidence a reviewer can inspect.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Response section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Required content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Company and team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Named delivery lead; relevant team members; employment/subcontractor status; location/time zones; capacity; escalation owner.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Methodology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How queries are created/frozen, outputs collected, result types classified, variability handled, nulls retained, and rates calculated.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Work sample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One recent redacted or public row-level example showing exact queries, denominators, URLs, timestamps, nulls, and resulting decisions.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Implementation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What the provider will actually change, who writes/ships/reviews it, systems required, approval path, and rollback.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Third-party work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Channels, outreach method, buyer approval, disclosure policy, placement fees, editorial independence, and prohibited tactics.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Proof posture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For each outcome claim: subject, date range, baseline, intervention, denominator, source, confounders, and verification path.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Data and security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Data collected; subprocessors; retention; model-training use; access control; incident process; deletion/export; required agreements.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Conflicts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Self-authored rankings, referral fees, paid inclusion, publisher relationships, tool ownership, or other incentives relevant to recommendations.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Mandatory methodology questions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Show the exact formula and denominator for every reported rate. How are recorder failures and incomplete runs treated?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How do you distinguish native consumer interfaces, native web search, browser automation, and APIs? Which are comparable and which are not?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How do you preserve and report nulls, unavailable citation surfaces, unknown model versions, and conflicting answers?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Which production changes require buyer approval, and how will each change be tied to an evidence-backed hypothesis and rollback?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What could improve while linked placement remains zero? What could produce a placement without proving business impact?</w:t>
      </w:r>
    </w:p>
    <w:p>
      <w:pPr>
        <w:keepNext w:val="0"/>
        <w:keepLines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3"/>
          <w:sz w:val="22"/>
        </w:rPr>
        <w:t>Which deliverables, source files, query sets, raw outputs, accounts, and credentials does the buyer own at termination?</w:t>
      </w:r>
    </w:p>
    <w:p>
      <w:pPr>
        <w:pStyle w:val="Heading1"/>
      </w:pPr>
      <w:r>
        <w:t>7. Commercial response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2" w:space="0" w:color="F4F6F9"/>
          <w:left w:val="single" w:sz="2" w:space="0" w:color="F4F6F9"/>
          <w:bottom w:val="single" w:sz="2" w:space="0" w:color="F4F6F9"/>
          <w:right w:val="single" w:sz="2" w:space="0" w:color="F4F6F9"/>
          <w:insideH w:val="single" w:sz="2" w:space="0" w:color="F4F6F9"/>
          <w:insideV w:val="single" w:sz="2" w:space="0" w:color="F4F6F9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80" w:type="dxa"/>
              <w:bottom w:w="120" w:type="dxa"/>
              <w:end w:w="180" w:type="dxa"/>
            </w:tcMar>
            <w:vAlign w:val="center"/>
            <w:shd w:fill="F4F6F9"/>
          </w:tcPr>
          <w:p>
            <w:pPr>
              <w:keepNext w:val="0"/>
              <w:keepLines w:val="0"/>
              <w:spacing w:before="0" w:after="0" w:line="278" w:lineRule="auto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Comparable price  </w:t>
            </w:r>
            <w:r>
              <w:rPr>
                <w:rFonts w:ascii="Calibri" w:hAnsi="Calibri"/>
                <w:b w:val="0"/>
                <w:i w:val="0"/>
                <w:color w:val="1F2933"/>
                <w:sz w:val="20"/>
              </w:rPr>
              <w:t>Quote the complete expected cost for the declared scope. Separate recurring managed service, one-time setup/audit, software, media/placement, travel, taxes, and buyer-supplied labor. Unknown costs must remain Unknown—not zero.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100"/>
        <w:gridCol w:w="1700"/>
        <w:gridCol w:w="3000"/>
        <w:gridCol w:w="25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Cost line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Price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Included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External / excluded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One-time setup / baseline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[Currency and amount]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[Included units/deliverables]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[Dependencies/exclusions]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Recurring managed service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[Amount / billing period]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[Included units/deliverables]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[Dependencies/exclusions]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Software / data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[Amount / billing period]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[Seats, brands, prompts, runs, exports]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[Overages]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Content / development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[Included or amount]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[Volume and acceptance]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[Overages]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PR / placement / media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[Included or amount]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[Fee type and approval]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[Editorial independence]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Optional services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[Amount]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[Unit and scope]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[Trigger]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Estimated buyer labor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[Hours / role / month]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[Approvals, source input, implementation]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7"/>
              </w:rPr>
              <w:t>[Peak periods]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Contract and exit fields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Term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Provider response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Minimum term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[Months / none]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Renewal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[Automatic/manual; renewal term]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Notice / termination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[Days; for convenience and cause]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Price changes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[Notice, cap, timing]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Pause / unused units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[Carryover, expiry, refund treatment]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Payment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[Schedule, invoice terms, deposit]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Performance-based component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[None or exact trigger, source, dispute rule, cap]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Exit and handover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[Export formats, timing, assistance, fees, deletion confirmation]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IP and license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[Buyer/provider ownership; pre-existing materials; ongoing rights]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1"/>
      </w:pPr>
      <w:r>
        <w:t>8. Mandatory gates and submission checklist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A No answer to a mandatory gate may make a proposal non-responsive. The buyer should finalize gate treatment before issuing the RFP.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650"/>
        <w:gridCol w:w="5050"/>
        <w:gridCol w:w="1650"/>
        <w:gridCol w:w="201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Gate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Requirement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Response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Evidence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G1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Separates linked placement, unlinked mention, recommendation, accuracy/sentiment, traffic, and business outcomes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G2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Preserves exact queries, run denominators, UTC timestamps, displayed URLs/positions, full responses, nulls, unknowns, and recorder failures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G3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Discloses engine, surface, access method, locale, model/version when exposed, and citation availability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G4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Makes no guaranteed placement, recommendation, traffic, pipeline, or revenue promise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G5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Buyer owns contracted deliverables, raw exports, query sets, implemented work, and transferable accounts/files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G6</w:t>
            </w:r>
          </w:p>
        </w:tc>
        <w:tc>
          <w:tcPr>
            <w:tcW w:type="dxa" w:w="5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6"/>
              </w:rPr>
              <w:t>States complete price, included units, external costs, minimum term, renewal, notice, rework, termination, and handover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[Yes / Partial / No]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6"/>
              </w:rPr>
              <w:t>[Section / URL]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Submission checklist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Executive summary and point-by-point response in this document's order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Completed measurement, deliverable, cost, term, and gate tables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Methodology document and one inspectable row-level work sample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Named delivery team, subcontractors, references, and conflicts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Complete assumptions, dependencies, exclusions, and buyer labor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Proposed contract / order form and data-processing/security material</w:t>
      </w:r>
    </w:p>
    <w:p>
      <w:pPr>
        <w:keepNext w:val="0"/>
        <w:keepLines w:val="0"/>
        <w:spacing w:before="0" w:after="6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☐ Accessible PDF plus editable response file</w:t>
      </w:r>
    </w:p>
    <w:p>
      <w:pPr>
        <w:pStyle w:val="Heading2"/>
      </w:pPr>
      <w:r>
        <w:t>Evaluation after proposals arrive</w:t>
      </w:r>
    </w:p>
    <w:p>
      <w:pPr>
        <w:keepNext w:val="0"/>
        <w:keepLines w:val="0"/>
        <w:spacing w:before="0" w:after="120" w:line="300" w:lineRule="auto"/>
      </w:pPr>
      <w:r>
        <w:rPr>
          <w:rFonts w:ascii="Calibri" w:hAnsi="Calibri"/>
          <w:b w:val="0"/>
          <w:i w:val="0"/>
          <w:color w:val="1F2933"/>
          <w:sz w:val="22"/>
        </w:rPr>
        <w:t>Use one declared scoring method on every responsive proposal. Quoted First's separate GEO agency scorecard is available at https://quotedfirst.com/ai-search-agency-evaluation-scorecard.html; adjust its weights before scoring and apply it to Quoted First as well as every other provider.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2" w:space="0" w:color="FFF8E8"/>
          <w:left w:val="single" w:sz="2" w:space="0" w:color="FFF8E8"/>
          <w:bottom w:val="single" w:sz="2" w:space="0" w:color="FFF8E8"/>
          <w:right w:val="single" w:sz="2" w:space="0" w:color="FFF8E8"/>
          <w:insideH w:val="single" w:sz="2" w:space="0" w:color="FFF8E8"/>
          <w:insideV w:val="single" w:sz="2" w:space="0" w:color="FFF8E8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80" w:type="dxa"/>
              <w:bottom w:w="120" w:type="dxa"/>
              <w:end w:w="180" w:type="dxa"/>
            </w:tcMar>
            <w:vAlign w:val="center"/>
            <w:shd w:fill="FFF8E8"/>
          </w:tcPr>
          <w:p>
            <w:pPr>
              <w:keepNext w:val="0"/>
              <w:keepLines w:val="0"/>
              <w:spacing w:before="0" w:after="0" w:line="278" w:lineRule="auto"/>
            </w:pPr>
            <w:r>
              <w:rPr>
                <w:rFonts w:ascii="Calibri" w:hAnsi="Calibri"/>
                <w:b/>
                <w:i w:val="0"/>
                <w:color w:val="7A5A00"/>
                <w:sz w:val="20"/>
              </w:rPr>
              <w:t xml:space="preserve">Publisher conflict  </w:t>
            </w:r>
            <w:r>
              <w:rPr>
                <w:rFonts w:ascii="Calibri" w:hAnsi="Calibri"/>
                <w:b w:val="0"/>
                <w:i w:val="0"/>
                <w:color w:val="1F2933"/>
                <w:sz w:val="20"/>
              </w:rPr>
              <w:t>Quoted First publishes this template and sells AI-search optimization services. That is a direct commercial conflict. The document is designed to expose comparable evidence and terms, not to award Quoted First a score or preferred status. Apply every requirement and gate to Quoted First without exception.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p>
      <w:pPr>
        <w:pStyle w:val="Heading2"/>
      </w:pPr>
      <w:r>
        <w:t>Issue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Record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Buyer entry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Final RFP version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[Version / date / file hash]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Invited providers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[List]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Buyer approvers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[Names / roles]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Legal / security review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[Completed by / date / exceptions]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Changes after issue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Calibri" w:hAnsi="Calibri"/>
                <w:b w:val="0"/>
                <w:i/>
                <w:color w:val="1F2933"/>
                <w:sz w:val="18"/>
              </w:rPr>
              <w:t>[Addendum number / date / recipients]</w:t>
            </w:r>
          </w:p>
        </w:tc>
      </w:tr>
    </w:tbl>
    <w:p>
      <w:pPr>
        <w:keepNext w:val="0"/>
        <w:keepLines w:val="0"/>
        <w:spacing w:before="0" w:after="40" w:line="24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tabs>
        <w:tab w:pos="9360" w:val="left"/>
      </w:tabs>
      <w:spacing w:before="0" w:after="0" w:line="240" w:lineRule="auto"/>
    </w:pPr>
    <w:r>
      <w:rPr>
        <w:rFonts w:ascii="Calibri" w:hAnsi="Calibri"/>
        <w:b w:val="0"/>
        <w:i w:val="0"/>
        <w:color w:val="5B6672"/>
        <w:sz w:val="17"/>
      </w:rPr>
      <w:t>No signup • Revision 2026-08-24</w:t>
    </w:r>
    <w:r>
      <w:tab/>
    </w:r>
    <w:r>
      <w:rPr>
        <w:rFonts w:ascii="Calibri" w:hAnsi="Calibri"/>
        <w:b w:val="0"/>
        <w:i w:val="0"/>
        <w:color w:val="5B6672"/>
        <w:sz w:val="17"/>
      </w:rPr>
      <w:t xml:space="preserve">Page </w:t>
    </w:r>
    <w:r>
      <w:rPr>
        <w:rFonts w:ascii="Calibri" w:hAnsi="Calibri"/>
        <w:b w:val="0"/>
        <w:i w:val="0"/>
        <w:color w:val="5B6672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b w:val="0"/>
        <w:i w:val="0"/>
        <w:color w:val="5B6672"/>
        <w:sz w:val="17"/>
      </w:rPr>
      <w:t xml:space="preserve"> of </w:t>
    </w:r>
    <w:r>
      <w:rPr>
        <w:rFonts w:ascii="Calibri" w:hAnsi="Calibri"/>
        <w:b w:val="0"/>
        <w:i w:val="0"/>
        <w:color w:val="5B6672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tabs>
        <w:tab w:pos="9360" w:val="left"/>
      </w:tabs>
      <w:spacing w:before="0" w:after="0" w:line="240" w:lineRule="auto"/>
      <w:jc w:val="left"/>
    </w:pPr>
    <w:r>
      <w:rPr>
        <w:rFonts w:ascii="Calibri" w:hAnsi="Calibri"/>
        <w:b/>
        <w:i w:val="0"/>
        <w:color w:val="5B6672"/>
        <w:sz w:val="17"/>
      </w:rPr>
      <w:t>QUOTED FIRST  |  AI SEARCH PROCUREMENT</w:t>
    </w:r>
    <w:r>
      <w:tab/>
    </w:r>
    <w:r>
      <w:rPr>
        <w:rFonts w:ascii="Calibri" w:hAnsi="Calibri"/>
        <w:b/>
        <w:i w:val="0"/>
        <w:color w:val="5B6672"/>
        <w:sz w:val="17"/>
      </w:rPr>
      <w:t>EDITABLE RFP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before="0"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before="0"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Search Optimization RFP Template for B2B SaaS</dc:title>
  <dc:subject>Editable request for proposal for managed GEO and AI-search optimization services</dc:subject>
  <dc:creator>Quoted First</dc:creator>
  <cp:keywords>AI search optimization RFP, GEO agency RFP, B2B SaaS, procurement template</cp:keywords>
  <dc:description>Published with an explicit provider/publisher conflict. No macros or form submission required.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